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 xml:space="preserve">ДОГОВОР № </w:t>
      </w:r>
      <w:r>
        <w:rPr>
          <w:rStyle w:val="Strong"/>
        </w:rPr>
        <w:t>2026/1</w:t>
      </w:r>
      <w:r>
        <w:rPr/>
        <w:t xml:space="preserve"> </w:t>
      </w:r>
      <w:r>
        <w:rPr>
          <w:rStyle w:val="Strong"/>
        </w:rPr>
        <w:t>на оказание услуг по доработке веб-сайта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г. </w:t>
      </w:r>
      <w:r>
        <w:rPr/>
        <w:t>Новороссийск</w:t>
      </w:r>
      <w:r>
        <w:rPr/>
        <w:t xml:space="preserve"> </w:t>
      </w:r>
      <w:r>
        <w:rPr>
          <w:b w:val="false"/>
          <w:bCs w:val="false"/>
        </w:rPr>
        <w:t>«_</w:t>
      </w:r>
      <w:r>
        <w:rPr>
          <w:rStyle w:val="Strong"/>
          <w:b w:val="false"/>
          <w:bCs w:val="false"/>
        </w:rPr>
        <w:t>» __________ 20</w:t>
      </w:r>
      <w:r>
        <w:rPr>
          <w:rStyle w:val="Strong"/>
          <w:b w:val="false"/>
          <w:bCs w:val="false"/>
        </w:rPr>
        <w:t>26</w:t>
      </w:r>
      <w:r>
        <w:rPr/>
        <w:t xml:space="preserve"> г.</w:t>
      </w:r>
    </w:p>
    <w:p>
      <w:pPr>
        <w:pStyle w:val="Style14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СТОРОНЫ</w:t>
      </w:r>
    </w:p>
    <w:p>
      <w:pPr>
        <w:pStyle w:val="BodyText"/>
        <w:bidi w:val="0"/>
        <w:jc w:val="start"/>
        <w:rPr/>
      </w:pPr>
      <w:r>
        <w:rPr>
          <w:rStyle w:val="Strong"/>
        </w:rPr>
        <w:t>Исполнитель:</w:t>
      </w:r>
      <w:r>
        <w:rPr/>
        <w:t xml:space="preserve"> </w:t>
      </w:r>
      <w:r>
        <w:rPr>
          <w:b w:val="false"/>
          <w:bCs w:val="false"/>
          <w:lang w:val="ru-RU"/>
        </w:rPr>
        <w:t>ИП Шарынин Дмитрий Владимирович</w:t>
      </w:r>
      <w:r>
        <w:rPr>
          <w:b w:val="false"/>
          <w:bCs w:val="false"/>
          <w:lang w:val="ru-RU"/>
        </w:rPr>
        <w:t xml:space="preserve">, </w:t>
      </w:r>
      <w:r>
        <w:rPr/>
        <w:t xml:space="preserve">действующий на основании </w:t>
      </w:r>
      <w:r>
        <w:rPr>
          <w:b w:val="false"/>
          <w:bCs w:val="false"/>
          <w:lang w:val="ru-RU"/>
        </w:rPr>
        <w:t>ОГРНИП 326237500212382, именуемый в дальнейшем «Исполнитель»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Заказчик:</w:t>
      </w:r>
      <w:r>
        <w:rPr/>
        <w:t xml:space="preserve"> ________________________________, именуемый в дальнейшем «Заказчик»,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совместно именуемые «Стороны», заключили настоящий Договор о нижеследующем.</w:t>
      </w:r>
    </w:p>
    <w:p>
      <w:pPr>
        <w:pStyle w:val="Style14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1. ПРЕДМЕТ ДОГОВОРА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1.1. Исполнитель обязуется оказать услуги по доработке веб-сайта Заказчика, расположенного по адресу: </w:t>
      </w:r>
      <w:r>
        <w:rPr>
          <w:rStyle w:val="Strong"/>
        </w:rPr>
        <w:t>________________________</w:t>
      </w:r>
      <w:r>
        <w:rPr/>
        <w:t xml:space="preserve"> (далее — «Сайт»), в соответствии с Техническим заданием (Приложение № 1), являющимся неотъемлемой частью настоящего Договора.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1.2. Заказчик обязуется принять и оплатить оказанные услуги в порядке и сроки, предусмотренные настоящим Договором.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1.3. Перечень конкретных работ, сроки и стоимость определяются в Техническом задании и/или Смете (Приложение № 2).</w:t>
      </w:r>
    </w:p>
    <w:p>
      <w:pPr>
        <w:pStyle w:val="Style14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2. ПРАВА И ОБЯЗАННОСТИ СТОРОН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/>
        <w:t>2.1. Исполнитель обязуется: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выполнить работы в соответствии с Техническим заданием и в установленные сроки;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информировать Заказчика о ходе выполнения работ по запросу;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устранять выявленные дефекты, допущенные по вине Исполнителя, в течение гарантийного срока;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соблюдать конфиденциальность в отношении данных, полученных от Заказчика;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не передавать третьим лицам доступы к сайту и данные Заказчика. 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/>
        <w:t>2.2. Исполнитель вправе: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привлекать третьих лиц для выполнения отдельных видов работ, оставаясь ответственным перед Заказчиком;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приостановить работы при задержке оплаты более чем н</w:t>
      </w:r>
      <w:r>
        <w:rPr>
          <w:b w:val="false"/>
          <w:bCs w:val="false"/>
        </w:rPr>
        <w:t xml:space="preserve">а </w:t>
      </w:r>
      <w:r>
        <w:rPr>
          <w:b/>
          <w:bCs/>
        </w:rPr>
        <w:t>5</w:t>
      </w:r>
      <w:r>
        <w:rPr>
          <w:rStyle w:val="Strong"/>
          <w:b/>
          <w:bCs/>
        </w:rPr>
        <w:t xml:space="preserve"> календарных дней</w:t>
      </w:r>
      <w:r>
        <w:rPr>
          <w:b w:val="false"/>
          <w:bCs w:val="false"/>
        </w:rPr>
        <w:t xml:space="preserve">;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запросить у Заказчика необходимые материалы, доступы и информацию. 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/>
        <w:t>2.3. Заказчик обязуется: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предоставить Исполнителю все необходимые доступы (хостинг, CMS, FTP, БД и пр.) в течение </w:t>
      </w:r>
      <w:r>
        <w:rPr>
          <w:b/>
          <w:bCs/>
        </w:rPr>
        <w:t>3</w:t>
      </w:r>
      <w:r>
        <w:rPr>
          <w:rStyle w:val="Strong"/>
        </w:rPr>
        <w:t xml:space="preserve"> рабочих дней</w:t>
      </w:r>
      <w:r>
        <w:rPr/>
        <w:t xml:space="preserve"> с момента подписания Договора;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своевременно предоставлять материалы (тексты, изображения, логотипы и пр.);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принять выполненные работы или направить мотивированный отказ в течение </w:t>
      </w:r>
      <w:r>
        <w:rPr>
          <w:b/>
          <w:bCs/>
        </w:rPr>
        <w:t>5</w:t>
      </w:r>
      <w:r>
        <w:rPr>
          <w:rStyle w:val="Strong"/>
          <w:b/>
          <w:bCs/>
        </w:rPr>
        <w:t xml:space="preserve"> </w:t>
      </w:r>
      <w:r>
        <w:rPr>
          <w:rStyle w:val="Strong"/>
        </w:rPr>
        <w:t>рабочих дней</w:t>
      </w:r>
      <w:r>
        <w:rPr/>
        <w:t xml:space="preserve"> после получения уведомления о готовности;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своевременно производить оплату согласно условиям Договора. 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/>
        <w:t>2.4. Заказчик вправе: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запрашивать отчёт о ходе выполнения работ; 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вносить изменения в Техническое задание по согласованию с Исполнителем (изменения оформляются дополнительным соглашением). </w:t>
      </w:r>
    </w:p>
    <w:p>
      <w:pPr>
        <w:pStyle w:val="Style14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3. СТОИМОСТЬ И ПОРЯДОК ОПЛАТЫ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3.1. Общая стоимость услуг по настоящему Договору составляет </w:t>
      </w:r>
      <w:r>
        <w:rPr>
          <w:b/>
          <w:bCs/>
          <w:i/>
          <w:iCs/>
        </w:rPr>
        <w:t>000</w:t>
      </w:r>
      <w:r>
        <w:rPr>
          <w:rStyle w:val="Strong"/>
        </w:rPr>
        <w:t xml:space="preserve"> руб. (____ </w:t>
      </w:r>
      <w:r>
        <w:rPr>
          <w:rStyle w:val="Strong"/>
        </w:rPr>
        <w:t>тысяч рублей</w:t>
      </w:r>
      <w:r>
        <w:rPr>
          <w:rStyle w:val="Strong"/>
        </w:rPr>
        <w:t>)</w:t>
      </w:r>
      <w:r>
        <w:rPr/>
        <w:t>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3.2. Оплата производится в следующем порядке: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Аванс:</w:t>
      </w:r>
      <w:r>
        <w:rPr/>
        <w:t xml:space="preserve"> </w:t>
      </w:r>
      <w:r>
        <w:rPr>
          <w:b/>
          <w:bCs/>
        </w:rPr>
        <w:t>50</w:t>
      </w:r>
      <w:r>
        <w:rPr>
          <w:rStyle w:val="Strong"/>
          <w:b/>
          <w:bCs/>
        </w:rPr>
        <w:t>%</w:t>
      </w:r>
      <w:r>
        <w:rPr>
          <w:rStyle w:val="Strong"/>
        </w:rPr>
        <w:t xml:space="preserve"> — </w:t>
      </w:r>
      <w:r>
        <w:rPr>
          <w:rStyle w:val="Strong"/>
        </w:rPr>
        <w:t>000</w:t>
      </w:r>
      <w:r>
        <w:rPr/>
        <w:t xml:space="preserve"> руб. — в течение </w:t>
      </w:r>
      <w:r>
        <w:rPr>
          <w:lang w:val="en-US"/>
        </w:rPr>
        <w:t>5</w:t>
      </w:r>
      <w:r>
        <w:rPr/>
        <w:t xml:space="preserve"> рабочих дней с момента подписания Договора; 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Окончательный расчёт:</w:t>
      </w:r>
      <w:r>
        <w:rPr/>
        <w:t xml:space="preserve"> </w:t>
      </w:r>
      <w:r>
        <w:rPr>
          <w:b/>
          <w:bCs/>
        </w:rPr>
        <w:t>50</w:t>
      </w:r>
      <w:r>
        <w:rPr>
          <w:rStyle w:val="Strong"/>
          <w:b/>
          <w:bCs/>
        </w:rPr>
        <w:t xml:space="preserve">% </w:t>
      </w:r>
      <w:r>
        <w:rPr>
          <w:rStyle w:val="Strong"/>
          <w:b w:val="false"/>
          <w:bCs w:val="false"/>
        </w:rPr>
        <w:t>—</w:t>
      </w:r>
      <w:r>
        <w:rPr>
          <w:rStyle w:val="Strong"/>
        </w:rPr>
        <w:t xml:space="preserve"> </w:t>
      </w:r>
      <w:r>
        <w:rPr>
          <w:rStyle w:val="Strong"/>
        </w:rPr>
        <w:t>000</w:t>
      </w:r>
      <w:r>
        <w:rPr/>
        <w:t xml:space="preserve"> руб. — в течение </w:t>
      </w:r>
      <w:r>
        <w:rPr>
          <w:b/>
          <w:bCs/>
        </w:rPr>
        <w:t>5</w:t>
      </w:r>
      <w:r>
        <w:rPr>
          <w:b/>
          <w:bCs/>
        </w:rPr>
        <w:t xml:space="preserve"> рабочих дней</w:t>
      </w:r>
      <w:r>
        <w:rPr/>
        <w:t xml:space="preserve"> после подписания Акта сдачи-приёмки.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3.3. Оплата производится путём перечисления денежных средств на расчётный счёт Исполнителя или иным согласованным способом.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3.4. Датой оплаты считается дата поступления денежных средств на счёт Исполнителя.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3.5. В случае изменения объёма работ стоимость пересматривается по взаимному соглашению Сторон и фиксируется в дополнительном соглашении.</w:t>
      </w:r>
    </w:p>
    <w:p>
      <w:pPr>
        <w:pStyle w:val="Style14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4. СРОКИ ВЫПОЛНЕНИЯ РАБОТ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4.1. Начало выполнения работ: </w:t>
      </w:r>
      <w:r>
        <w:rPr>
          <w:rStyle w:val="Strong"/>
        </w:rPr>
        <w:t>«_» __________ 20</w:t>
      </w:r>
      <w:r>
        <w:rPr>
          <w:rStyle w:val="Strong"/>
        </w:rPr>
        <w:t>26</w:t>
      </w:r>
      <w:r>
        <w:rPr>
          <w:rStyle w:val="Strong"/>
        </w:rPr>
        <w:t xml:space="preserve"> г.</w:t>
      </w:r>
      <w:r>
        <w:rPr/>
        <w:t xml:space="preserve"> или в течение </w:t>
      </w:r>
      <w:r>
        <w:rPr/>
        <w:t>2</w:t>
      </w:r>
      <w:r>
        <w:rPr/>
        <w:t xml:space="preserve"> рабочих дней после получения аванса и необходимых доступов.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4.2. Срок выполнения работ: </w:t>
      </w:r>
      <w:r>
        <w:rPr>
          <w:rStyle w:val="Strong"/>
        </w:rPr>
        <w:t>___ календарных дней</w:t>
      </w:r>
      <w:r>
        <w:rPr/>
        <w:t xml:space="preserve"> с момента начала работ.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4.3. Сроки могут быть перенесены в случае: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задержки предоставления материалов или доступов со стороны Заказчика; 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изменения Технического задания по инициативе Заказчика; 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обстоятельств непреодолимой силы.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4.4. О переносе сроков Исполнитель уведомляет Заказчика в письменной форме (в т.ч. по электронной почте).</w:t>
      </w:r>
    </w:p>
    <w:p>
      <w:pPr>
        <w:pStyle w:val="Style14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5. ПОРЯДОК СДАЧИ И ПРИЁМКИ РАБОТ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5.1. По завершении работ Исполнитель направляет Заказчику уведомление о готовности и Акт сдачи-приёмки выполненных работ.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5.2. Заказчик обязан в течение </w:t>
      </w:r>
      <w:r>
        <w:rPr>
          <w:b/>
          <w:bCs/>
        </w:rPr>
        <w:t>3</w:t>
      </w:r>
      <w:r>
        <w:rPr>
          <w:rStyle w:val="Strong"/>
          <w:b/>
          <w:bCs/>
        </w:rPr>
        <w:t xml:space="preserve"> ра</w:t>
      </w:r>
      <w:r>
        <w:rPr>
          <w:rStyle w:val="Strong"/>
        </w:rPr>
        <w:t>бочих дней</w:t>
      </w:r>
      <w:r>
        <w:rPr/>
        <w:t xml:space="preserve"> рассмотреть результат и: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подписать Акт, если работы выполнены надлежащим образом; или 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направить мотивированный отказ с перечнем замечаний.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5.3. Если в указанный срок Заказчик не подписал Акт и не направил мотивированный отказ, работы считаются принятыми автоматически.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5.4. При наличии замечаний Исполнитель устраняет их в течение </w:t>
      </w:r>
      <w:r>
        <w:rPr>
          <w:b/>
          <w:bCs/>
        </w:rPr>
        <w:t>5</w:t>
      </w:r>
      <w:r>
        <w:rPr>
          <w:rStyle w:val="Strong"/>
          <w:b/>
          <w:bCs/>
        </w:rPr>
        <w:t xml:space="preserve"> </w:t>
      </w:r>
      <w:r>
        <w:rPr>
          <w:rStyle w:val="Strong"/>
        </w:rPr>
        <w:t>рабочих дней</w:t>
      </w:r>
      <w:r>
        <w:rPr/>
        <w:t>, после чего Стороны повторно проходят процедуру приёмки.</w:t>
      </w:r>
    </w:p>
    <w:p>
      <w:pPr>
        <w:pStyle w:val="Style14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6. ПРАВА НА РЕЗУЛЬТАТЫ РАБОТ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6.1. После полной оплаты по Договору Заказчик получает </w:t>
      </w:r>
      <w:r>
        <w:rPr>
          <w:rStyle w:val="Strong"/>
        </w:rPr>
        <w:t>исключительное право</w:t>
      </w:r>
      <w:r>
        <w:rPr/>
        <w:t xml:space="preserve"> на использование результатов работ (доработанного функционала, кода, дизайна), созданных в рамках настоящего Договора.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6.2. Исполнитель вправе использовать выполненные работы в своём портфолио, если иное не оговорено отдельно.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6.3. Права на сторонние компоненты (плагины, библиотеки, шаблоны) регулируются лицензиями их правообладателей. Исполнитель уведомляет Заказчика об используемых компонентах.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6.4. До момента полной оплаты результаты работ остаются в собственности Исполнителя.</w:t>
      </w:r>
    </w:p>
    <w:p>
      <w:pPr>
        <w:pStyle w:val="Style14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7. КОНФИДЕНЦИАЛЬНОСТЬ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7.1. Стороны обязуются не разглашать третьим лицам конфиденциальную информацию, полученную в ходе исполнения Договора: доступы, коммерческие данные, персональные данные пользователей сайта и пр.</w:t>
      </w:r>
    </w:p>
    <w:p>
      <w:pPr>
        <w:pStyle w:val="Style14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8. ОТВЕТСТВЕННОСТЬ СТОРОН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8.1. За нарушение сроков выполнения работ по вине Исполнителя — пеня в размере </w:t>
      </w:r>
      <w:r>
        <w:rPr>
          <w:b/>
          <w:bCs/>
          <w:lang w:val="en-US"/>
        </w:rPr>
        <w:t>0.</w:t>
      </w:r>
      <w:r>
        <w:rPr>
          <w:rStyle w:val="Strong"/>
          <w:lang w:val="en-US"/>
        </w:rPr>
        <w:t>2</w:t>
      </w:r>
      <w:r>
        <w:rPr>
          <w:rStyle w:val="Strong"/>
        </w:rPr>
        <w:t>% от стоимости невыполненных работ</w:t>
      </w:r>
      <w:r>
        <w:rPr/>
        <w:t xml:space="preserve"> за каждый день просрочки, но не более </w:t>
      </w:r>
      <w:r>
        <w:rPr>
          <w:rStyle w:val="Strong"/>
          <w:lang w:val="en-US"/>
        </w:rPr>
        <w:t>10</w:t>
      </w:r>
      <w:r>
        <w:rPr>
          <w:rStyle w:val="Strong"/>
        </w:rPr>
        <w:t>% от общей стоимости Договора</w:t>
      </w:r>
      <w:r>
        <w:rPr/>
        <w:t>.</w:t>
      </w:r>
    </w:p>
    <w:p>
      <w:pPr>
        <w:pStyle w:val="BodyText"/>
        <w:bidi w:val="0"/>
        <w:jc w:val="start"/>
        <w:rPr/>
      </w:pPr>
      <w:r>
        <w:rPr/>
        <w:t xml:space="preserve">8.2. За нарушение сроков оплаты по вине Заказчика — пеня в размере </w:t>
      </w:r>
      <w:r>
        <w:rPr>
          <w:b/>
          <w:bCs/>
          <w:lang w:val="en-US"/>
        </w:rPr>
        <w:t>0.</w:t>
      </w:r>
      <w:r>
        <w:rPr>
          <w:rStyle w:val="Strong"/>
          <w:b/>
          <w:bCs/>
        </w:rPr>
        <w:t>1</w:t>
      </w:r>
      <w:r>
        <w:rPr>
          <w:rStyle w:val="Strong"/>
        </w:rPr>
        <w:t>% от суммы задолженности</w:t>
      </w:r>
      <w:r>
        <w:rPr/>
        <w:t xml:space="preserve"> за каждый день просрочки, но не более </w:t>
      </w:r>
      <w:r>
        <w:rPr>
          <w:rStyle w:val="Strong"/>
          <w:lang w:val="en-US"/>
        </w:rPr>
        <w:t>10</w:t>
      </w:r>
      <w:r>
        <w:rPr>
          <w:rStyle w:val="Strong"/>
        </w:rPr>
        <w:t>% от общей стоимости Договора</w:t>
      </w:r>
      <w:r>
        <w:rPr/>
        <w:t>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8.3. Исполнитель не несёт ответственности за: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неработоспособность сайта, вызванную действиями третьих лиц или Заказчика; 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потерю данных, если Заказчик не обеспечил резервное копирование; 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сбои на стороне хостинга или CMS. </w:t>
      </w:r>
    </w:p>
    <w:p>
      <w:pPr>
        <w:pStyle w:val="Style14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9. ГАРАНТИИ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9.1. Исполнитель предоставляет гарантию на выполненные работы сроком </w:t>
      </w:r>
      <w:r>
        <w:rPr>
          <w:b/>
          <w:bCs/>
        </w:rPr>
        <w:t xml:space="preserve">30 </w:t>
      </w:r>
      <w:r>
        <w:rPr>
          <w:rStyle w:val="Strong"/>
        </w:rPr>
        <w:t>календарных дней</w:t>
      </w:r>
      <w:r>
        <w:rPr/>
        <w:t xml:space="preserve"> с момента подписания Акта сдачи-приёмки.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9.2. Гарантия распространяется на дефекты, возникшие по вине Исполнителя.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9.3. Гарантия не распространяется на неисправности, вызванные: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самостоятельными изменениями кода Заказчиком или третьими лицами; 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обновлением CMS, плагинов или сервера без согласования с Исполнителем; 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действиями вредоносного ПО. </w:t>
      </w:r>
    </w:p>
    <w:p>
      <w:pPr>
        <w:pStyle w:val="Style14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10. ФОРС-МАЖОР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10.1. Стороны освобождаются от ответственности за неисполнение обязательств вследствие обстоятельств непреодолимой силы (стихийные бедствия, действия властей, военные действия и пр.).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10.2. Сторона, столкнувшаяся с форс-мажором, обязана уведомить другую Сторону в течение </w:t>
      </w:r>
      <w:r>
        <w:rPr>
          <w:b/>
          <w:bCs/>
        </w:rPr>
        <w:t>2</w:t>
      </w:r>
      <w:r>
        <w:rPr>
          <w:rStyle w:val="Strong"/>
        </w:rPr>
        <w:t xml:space="preserve"> рабочих дней</w:t>
      </w:r>
      <w:r>
        <w:rPr/>
        <w:t>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10.3. Если форс-мажор длится более </w:t>
      </w:r>
      <w:r>
        <w:rPr>
          <w:b/>
          <w:bCs/>
        </w:rPr>
        <w:t>3</w:t>
      </w:r>
      <w:r>
        <w:rPr>
          <w:b/>
          <w:bCs/>
        </w:rPr>
        <w:t>0</w:t>
      </w:r>
      <w:r>
        <w:rPr>
          <w:rStyle w:val="Strong"/>
          <w:b/>
          <w:bCs/>
        </w:rPr>
        <w:t xml:space="preserve"> дней</w:t>
      </w:r>
      <w:r>
        <w:rPr/>
        <w:t>, каждая из Сторон вправе расторгнуть Договор, оплатив фактически выполненные работы.</w:t>
      </w:r>
    </w:p>
    <w:p>
      <w:pPr>
        <w:pStyle w:val="Style14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11. РАСТОРЖЕНИЕ ДОГОВОРА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11.1. Договор может быть расторгнут по соглашению Сторон в любое время.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11.2. Заказчик вправе расторгнуть Договор в одностороннем порядке, уведомив Исполнителя за </w:t>
      </w:r>
      <w:r>
        <w:rPr>
          <w:b/>
          <w:bCs/>
        </w:rPr>
        <w:t>5</w:t>
      </w:r>
      <w:r>
        <w:rPr>
          <w:rStyle w:val="Strong"/>
          <w:b/>
          <w:bCs/>
        </w:rPr>
        <w:t xml:space="preserve"> </w:t>
      </w:r>
      <w:r>
        <w:rPr>
          <w:rStyle w:val="Strong"/>
        </w:rPr>
        <w:t>рабочих дней</w:t>
      </w:r>
      <w:r>
        <w:rPr/>
        <w:t>, оплатив фактически выполненные работы.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11.3. Исполнитель вправе расторгнуть Договор в одностороннем порядке при задержке оплаты более </w:t>
      </w:r>
      <w:r>
        <w:rPr>
          <w:rStyle w:val="Strong"/>
        </w:rPr>
        <w:t>1</w:t>
      </w:r>
      <w:r>
        <w:rPr>
          <w:rStyle w:val="Strong"/>
        </w:rPr>
        <w:t>0</w:t>
      </w:r>
      <w:r>
        <w:rPr>
          <w:rStyle w:val="Strong"/>
        </w:rPr>
        <w:t xml:space="preserve"> дней</w:t>
      </w:r>
      <w:r>
        <w:rPr/>
        <w:t>, уведомив Заказчика. Выполненные работы оплачиваются в полном объёме.</w:t>
      </w:r>
    </w:p>
    <w:p>
      <w:pPr>
        <w:pStyle w:val="Style14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12. РАЗРЕШЕНИЕ СПОРОВ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12.1. Все споры решаются путём переговоров.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12.2. При недостижении согласия споры передаются в суд по месту нахождения Исполнителя в соответствии с законодательством РФ.</w:t>
      </w:r>
    </w:p>
    <w:p>
      <w:pPr>
        <w:pStyle w:val="Style14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13. ПРОЧИЕ УСЛОВИЯ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13.1. Договор вступает в силу с момента подписания и действует до полного исполнения обязательств Сторонами.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13.2. Все изменения и дополнения к Договору оформляются в письменном виде и подписываются обеими Сторонами.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13.3. Переписка по электронной почте (адреса указаны в реквизитах) имеет юридическую силу до момента подписания официальных документов.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13.4. Договор составлен в </w:t>
      </w:r>
      <w:r>
        <w:rPr>
          <w:rStyle w:val="Strong"/>
        </w:rPr>
        <w:t>2 (двух)</w:t>
      </w:r>
      <w:r>
        <w:rPr/>
        <w:t xml:space="preserve"> экземплярах, имеющих равную юридическую силу, по одному для каждой из Сторон.</w:t>
      </w:r>
    </w:p>
    <w:p>
      <w:pPr>
        <w:pStyle w:val="Style14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14. РЕКВИЗИТЫ И ПОДПИСИ СТОРОН</w:t>
      </w:r>
    </w:p>
    <w:p>
      <w:pPr>
        <w:pStyle w:val="Normal"/>
        <w:bidi w:val="0"/>
        <w:spacing w:lineRule="auto" w:line="276"/>
        <w:jc w:val="start"/>
        <w:rPr>
          <w:lang w:val="ru-RU"/>
        </w:rPr>
      </w:pPr>
      <w:r>
        <w:rPr>
          <w:lang w:val="ru-RU"/>
        </w:rPr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749"/>
        <w:gridCol w:w="288"/>
        <w:gridCol w:w="4601"/>
      </w:tblGrid>
      <w:tr>
        <w:trPr/>
        <w:tc>
          <w:tcPr>
            <w:tcW w:w="4749" w:type="dxa"/>
            <w:tcBorders/>
          </w:tcPr>
          <w:p>
            <w:pPr>
              <w:pStyle w:val="Style15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Заказчик:</w:t>
            </w:r>
          </w:p>
        </w:tc>
        <w:tc>
          <w:tcPr>
            <w:tcW w:w="288" w:type="dxa"/>
            <w:tcBorders/>
          </w:tcPr>
          <w:p>
            <w:pPr>
              <w:pStyle w:val="Style15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601" w:type="dxa"/>
            <w:tcBorders/>
          </w:tcPr>
          <w:p>
            <w:pPr>
              <w:pStyle w:val="Style15"/>
              <w:bidi w:val="0"/>
              <w:jc w:val="end"/>
              <w:rPr/>
            </w:pPr>
            <w:r>
              <w:rPr>
                <w:b/>
                <w:bCs/>
              </w:rPr>
              <w:t xml:space="preserve">Исполнитель: </w:t>
              <w:br/>
            </w:r>
            <w:r>
              <w:rPr>
                <w:b/>
                <w:bCs/>
              </w:rPr>
              <w:t xml:space="preserve">ИП </w:t>
            </w:r>
            <w:r>
              <w:rPr>
                <w:b/>
                <w:bCs/>
              </w:rPr>
              <w:t>Шарынин Д.В.</w:t>
            </w:r>
            <w:r>
              <w:rPr/>
              <w:br/>
              <w:br/>
              <w:t>ИНН: 525627322309</w:t>
              <w:br/>
              <w:t>ОГРНИП: 32623 75002 12382</w:t>
            </w:r>
          </w:p>
          <w:p>
            <w:pPr>
              <w:pStyle w:val="Style15"/>
              <w:bidi w:val="0"/>
              <w:jc w:val="end"/>
              <w:rPr/>
            </w:pPr>
            <w:r>
              <w:rPr/>
              <w:br/>
              <w:t>ООО "Банк Точка"</w:t>
              <w:br/>
              <w:t>БИК: 044 525 104</w:t>
              <w:br/>
              <w:t>Расчётный счёт</w:t>
              <w:br/>
              <w:t>4080 2810 3200 0099 4368</w:t>
            </w:r>
          </w:p>
          <w:p>
            <w:pPr>
              <w:pStyle w:val="BodyText"/>
              <w:widowControl w:val="false"/>
              <w:bidi w:val="0"/>
              <w:jc w:val="end"/>
              <w:rPr/>
            </w:pPr>
            <w:r>
              <w:rPr/>
              <w:t>Корреспондентский счёт:</w:t>
              <w:br/>
              <w:t>3010 1810 7453 7452 5104</w:t>
            </w:r>
          </w:p>
          <w:p>
            <w:pPr>
              <w:pStyle w:val="Style15"/>
              <w:bidi w:val="0"/>
              <w:jc w:val="end"/>
              <w:rPr/>
            </w:pPr>
            <w:r>
              <w:rPr/>
              <w:br/>
              <w:t>Телефон: +7 999 966-69-69</w:t>
              <w:br/>
              <w:t>Почта: dmitry@sharynin.ru</w:t>
            </w:r>
          </w:p>
        </w:tc>
      </w:tr>
    </w:tbl>
    <w:p>
      <w:pPr>
        <w:pStyle w:val="Normal"/>
        <w:bidi w:val="0"/>
        <w:spacing w:lineRule="auto" w:line="276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spacing w:lineRule="auto" w:line="276"/>
        <w:jc w:val="start"/>
        <w:rPr>
          <w:lang w:val="ru-RU"/>
        </w:rPr>
      </w:pPr>
      <w:r>
        <w:rPr>
          <w:b/>
          <w:bCs/>
          <w:lang w:val="ru-RU"/>
        </w:rPr>
        <w:t>Подписи сторон:</w:t>
      </w:r>
      <w:r>
        <w:rPr>
          <w:lang w:val="ru-RU"/>
        </w:rPr>
        <w:br/>
      </w:r>
    </w:p>
    <w:p>
      <w:pPr>
        <w:pStyle w:val="Normal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__________________ / ____________                                  _________________ / </w:t>
      </w:r>
      <w:r>
        <w:rPr>
          <w:rFonts w:eastAsia="Times New Roman" w:cs="Times New Roman" w:ascii="Times New Roman" w:hAnsi="Times New Roman"/>
        </w:rPr>
        <w:t>Шарынин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Д</w:t>
      </w:r>
      <w:r>
        <w:rPr>
          <w:rFonts w:eastAsia="Times New Roman" w:cs="Times New Roman" w:ascii="Times New Roman" w:hAnsi="Times New Roman"/>
        </w:rPr>
        <w:t>.</w:t>
      </w:r>
      <w:r>
        <w:rPr>
          <w:rFonts w:eastAsia="Times New Roman" w:cs="Times New Roman" w:ascii="Times New Roman" w:hAnsi="Times New Roman"/>
        </w:rPr>
        <w:t>В</w:t>
      </w:r>
      <w:r>
        <w:rPr>
          <w:rFonts w:eastAsia="Times New Roman" w:cs="Times New Roman" w:ascii="Times New Roman" w:hAnsi="Times New Roman"/>
        </w:rPr>
        <w:t>.</w:t>
        <w:br/>
        <w:br/>
        <w:t>М.П.</w:t>
      </w:r>
      <w:r>
        <w:br w:type="page"/>
      </w:r>
    </w:p>
    <w:p>
      <w:pPr>
        <w:pStyle w:val="Heading2"/>
        <w:bidi w:val="0"/>
        <w:jc w:val="start"/>
        <w:rPr/>
      </w:pPr>
      <w:r>
        <w:rPr/>
        <w:t>ПРИЛОЖЕНИЕ № 1 — ТЕХНИЧЕСКОЕ ЗАДАНИЕ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Сайт:</w:t>
      </w:r>
      <w:r>
        <w:rPr/>
        <w:t xml:space="preserve"> ________________________________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Описание текущего состояния:</w:t>
      </w:r>
      <w:r>
        <w:rPr/>
        <w:t xml:space="preserve"> ________________________________</w:t>
      </w:r>
    </w:p>
    <w:p>
      <w:pPr>
        <w:pStyle w:val="BodyText"/>
        <w:bidi w:val="0"/>
        <w:jc w:val="start"/>
        <w:rPr/>
      </w:pPr>
      <w:r>
        <w:rPr>
          <w:rStyle w:val="Strong"/>
        </w:rPr>
        <w:t>Стек технологий / CMS:</w:t>
      </w:r>
      <w:r>
        <w:rPr/>
        <w:t xml:space="preserve"> ________________________________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Требования к результату:</w:t>
      </w:r>
      <w:r>
        <w:rPr/>
        <w:t xml:space="preserve"> ________________________________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Критерии приёмки:</w:t>
      </w:r>
      <w:r>
        <w:rPr/>
        <w:t xml:space="preserve"> ________________________________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>ПРИЛОЖЕНИЕ № 2 — СМЕТА</w:t>
        <w:br/>
      </w:r>
    </w:p>
    <w:tbl>
      <w:tblPr>
        <w:tblW w:w="952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62"/>
        <w:gridCol w:w="4001"/>
        <w:gridCol w:w="1700"/>
        <w:gridCol w:w="1925"/>
        <w:gridCol w:w="1537"/>
      </w:tblGrid>
      <w:tr>
        <w:trPr>
          <w:tblHeader w:val="true"/>
        </w:trPr>
        <w:tc>
          <w:tcPr>
            <w:tcW w:w="362" w:type="dxa"/>
            <w:tcBorders/>
            <w:vAlign w:val="center"/>
          </w:tcPr>
          <w:p>
            <w:pPr>
              <w:pStyle w:val="Style16"/>
              <w:suppressLineNumbers/>
              <w:bidi w:val="0"/>
              <w:jc w:val="center"/>
              <w:rPr/>
            </w:pPr>
            <w:r>
              <w:rPr/>
              <w:t>№</w:t>
            </w:r>
          </w:p>
        </w:tc>
        <w:tc>
          <w:tcPr>
            <w:tcW w:w="4001" w:type="dxa"/>
            <w:tcBorders/>
            <w:vAlign w:val="center"/>
          </w:tcPr>
          <w:p>
            <w:pPr>
              <w:pStyle w:val="Style16"/>
              <w:suppressLineNumbers/>
              <w:bidi w:val="0"/>
              <w:jc w:val="center"/>
              <w:rPr/>
            </w:pPr>
            <w:r>
              <w:rPr/>
              <w:t>Наименование работ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Style16"/>
              <w:suppressLineNumbers/>
              <w:bidi w:val="0"/>
              <w:jc w:val="center"/>
              <w:rPr/>
            </w:pPr>
            <w:r>
              <w:rPr/>
              <w:t>Кол-во часов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Style16"/>
              <w:suppressLineNumbers/>
              <w:bidi w:val="0"/>
              <w:jc w:val="center"/>
              <w:rPr/>
            </w:pPr>
            <w:r>
              <w:rPr/>
              <w:t>Ставка (руб/ч)</w:t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16"/>
              <w:suppressLineNumbers/>
              <w:bidi w:val="0"/>
              <w:jc w:val="center"/>
              <w:rPr/>
            </w:pPr>
            <w:r>
              <w:rPr/>
              <w:t>Стоимость (руб.)</w:t>
            </w:r>
          </w:p>
        </w:tc>
      </w:tr>
      <w:tr>
        <w:trPr/>
        <w:tc>
          <w:tcPr>
            <w:tcW w:w="362" w:type="dxa"/>
            <w:tcBorders/>
            <w:vAlign w:val="center"/>
          </w:tcPr>
          <w:p>
            <w:pPr>
              <w:pStyle w:val="Style15"/>
              <w:widowControl w:val="false"/>
              <w:suppressLineNumbers/>
              <w:bidi w:val="0"/>
              <w:jc w:val="start"/>
              <w:rPr/>
            </w:pPr>
            <w:r>
              <w:rPr/>
              <w:t>1</w:t>
            </w:r>
          </w:p>
        </w:tc>
        <w:tc>
          <w:tcPr>
            <w:tcW w:w="4001" w:type="dxa"/>
            <w:tcBorders/>
            <w:vAlign w:val="center"/>
          </w:tcPr>
          <w:p>
            <w:pPr>
              <w:pStyle w:val="Style15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Style15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Style15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15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62" w:type="dxa"/>
            <w:tcBorders/>
            <w:vAlign w:val="center"/>
          </w:tcPr>
          <w:p>
            <w:pPr>
              <w:pStyle w:val="Style15"/>
              <w:widowControl w:val="false"/>
              <w:suppressLineNumbers/>
              <w:bidi w:val="0"/>
              <w:jc w:val="start"/>
              <w:rPr/>
            </w:pPr>
            <w:r>
              <w:rPr/>
              <w:t>2</w:t>
            </w:r>
          </w:p>
        </w:tc>
        <w:tc>
          <w:tcPr>
            <w:tcW w:w="4001" w:type="dxa"/>
            <w:tcBorders/>
            <w:vAlign w:val="center"/>
          </w:tcPr>
          <w:p>
            <w:pPr>
              <w:pStyle w:val="Style15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Style15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Style15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15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62" w:type="dxa"/>
            <w:tcBorders/>
            <w:vAlign w:val="center"/>
          </w:tcPr>
          <w:p>
            <w:pPr>
              <w:pStyle w:val="Style15"/>
              <w:widowControl w:val="false"/>
              <w:suppressLineNumbers/>
              <w:bidi w:val="0"/>
              <w:jc w:val="start"/>
              <w:rPr/>
            </w:pPr>
            <w:r>
              <w:rPr/>
              <w:t>3</w:t>
            </w:r>
          </w:p>
        </w:tc>
        <w:tc>
          <w:tcPr>
            <w:tcW w:w="4001" w:type="dxa"/>
            <w:tcBorders/>
            <w:vAlign w:val="center"/>
          </w:tcPr>
          <w:p>
            <w:pPr>
              <w:pStyle w:val="Style15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Style15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Style15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15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tyle15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62" w:type="dxa"/>
            <w:tcBorders/>
            <w:vAlign w:val="center"/>
          </w:tcPr>
          <w:p>
            <w:pPr>
              <w:pStyle w:val="Style15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01" w:type="dxa"/>
            <w:tcBorders/>
            <w:vAlign w:val="center"/>
          </w:tcPr>
          <w:p>
            <w:pPr>
              <w:pStyle w:val="Style15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ИТОГО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Style15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Style15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37" w:type="dxa"/>
            <w:tcBorders/>
            <w:vAlign w:val="center"/>
          </w:tcPr>
          <w:p>
            <w:pPr>
              <w:pStyle w:val="Style15"/>
              <w:bidi w:val="0"/>
              <w:jc w:val="start"/>
              <w:rPr>
                <w:rStyle w:val="Strong"/>
              </w:rPr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2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Style12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Style12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Style14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paragraph" w:styleId="Style17">
    <w:name w:val="Блочная цитата"/>
    <w:basedOn w:val="Normal"/>
    <w:qFormat/>
    <w:pPr>
      <w:spacing w:before="0" w:after="283"/>
      <w:ind w:hanging="0" w:start="567" w:end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Application>LibreOffice/25.2.7.2$Windows_X86_64 LibreOffice_project/5cbfd1ab6520636bb5f7b99185aa69bd7456825d</Application>
  <AppVersion>15.0000</AppVersion>
  <Pages>6</Pages>
  <Words>1079</Words>
  <Characters>7162</Characters>
  <CharactersWithSpaces>8179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2026-05-12T16:29:43Z</dcterms:created>
  <dc:creator/>
  <dc:description/>
  <dc:language>ru-RU</dc:language>
  <cp:lastModifiedBy/>
  <dcterms:modified xsi:type="dcterms:W3CDTF">2026-05-12T18:36:43Z</dcterms:modified>
  <cp:revision>5</cp:revision>
  <dc:subject/>
  <dc:title/>
</cp:coreProperties>
</file>